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61F5587F" w14:textId="512E0AD9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Klasa</w:t>
      </w:r>
      <w:proofErr w:type="spellEnd"/>
      <w:r w:rsidRPr="00F476A0">
        <w:rPr>
          <w:sz w:val="22"/>
          <w:szCs w:val="22"/>
        </w:rPr>
        <w:t>:</w:t>
      </w:r>
      <w:r w:rsidRPr="00F476A0">
        <w:rPr>
          <w:sz w:val="22"/>
          <w:szCs w:val="22"/>
        </w:rPr>
        <w:tab/>
        <w:t>400-05/</w:t>
      </w:r>
      <w:r w:rsidR="000B011D">
        <w:rPr>
          <w:sz w:val="22"/>
          <w:szCs w:val="22"/>
        </w:rPr>
        <w:t>20</w:t>
      </w:r>
      <w:r w:rsidRPr="00F476A0">
        <w:rPr>
          <w:sz w:val="22"/>
          <w:szCs w:val="22"/>
        </w:rPr>
        <w:t>-01/1</w:t>
      </w:r>
    </w:p>
    <w:p w14:paraId="1C50F5C7" w14:textId="586D3C32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Urbroj</w:t>
      </w:r>
      <w:proofErr w:type="spellEnd"/>
      <w:r w:rsidRPr="00F476A0">
        <w:rPr>
          <w:sz w:val="22"/>
          <w:szCs w:val="22"/>
        </w:rPr>
        <w:t>: 238-49-31-</w:t>
      </w:r>
      <w:r w:rsidR="000B011D">
        <w:rPr>
          <w:sz w:val="22"/>
          <w:szCs w:val="22"/>
        </w:rPr>
        <w:t>20</w:t>
      </w:r>
      <w:r w:rsidRPr="00F476A0">
        <w:rPr>
          <w:sz w:val="22"/>
          <w:szCs w:val="22"/>
        </w:rPr>
        <w:t>-1</w:t>
      </w:r>
    </w:p>
    <w:p w14:paraId="68F18D8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EB99A" w14:textId="63C24E4A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>Velika Gorica, 31.siječnja 20</w:t>
      </w:r>
      <w:r w:rsidR="000B011D">
        <w:rPr>
          <w:sz w:val="22"/>
          <w:szCs w:val="22"/>
        </w:rPr>
        <w:t>20</w:t>
      </w:r>
      <w:r w:rsidRPr="00F476A0">
        <w:rPr>
          <w:sz w:val="22"/>
          <w:szCs w:val="22"/>
        </w:rPr>
        <w:t>.g.</w:t>
      </w:r>
    </w:p>
    <w:p w14:paraId="36B308B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D61F7B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684FBE" w14:textId="77777777" w:rsidR="008133D0" w:rsidRPr="00862524" w:rsidRDefault="008133D0" w:rsidP="008133D0">
      <w:pPr>
        <w:pStyle w:val="KlUrbrDat"/>
        <w:jc w:val="center"/>
        <w:rPr>
          <w:b/>
          <w:sz w:val="32"/>
          <w:szCs w:val="32"/>
          <w:u w:val="single"/>
        </w:rPr>
      </w:pPr>
      <w:r w:rsidRPr="00862524">
        <w:rPr>
          <w:b/>
          <w:sz w:val="32"/>
          <w:szCs w:val="32"/>
          <w:u w:val="single"/>
        </w:rPr>
        <w:t>BILJEŠKE UZ FINANCIJSKE IZVJEŠTAJE</w:t>
      </w:r>
    </w:p>
    <w:p w14:paraId="76C7EAF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E8DCF6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 xml:space="preserve"> RKP-a: 14380</w:t>
      </w:r>
    </w:p>
    <w:p w14:paraId="5159E8A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Matični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>: 01511572 OIB: 49004015680</w:t>
      </w:r>
    </w:p>
    <w:p w14:paraId="013F008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Naziv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adresa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obveznika</w:t>
      </w:r>
      <w:proofErr w:type="spellEnd"/>
      <w:r w:rsidRPr="00F476A0">
        <w:rPr>
          <w:sz w:val="22"/>
          <w:szCs w:val="22"/>
        </w:rPr>
        <w:t xml:space="preserve">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Slavka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Kolara</w:t>
      </w:r>
      <w:proofErr w:type="spellEnd"/>
      <w:r w:rsidRPr="00F476A0">
        <w:rPr>
          <w:sz w:val="22"/>
          <w:szCs w:val="22"/>
        </w:rPr>
        <w:t xml:space="preserve"> 39, </w:t>
      </w:r>
    </w:p>
    <w:p w14:paraId="6902D9F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  <w:t xml:space="preserve">        Velika Gorica</w:t>
      </w:r>
    </w:p>
    <w:p w14:paraId="2D70735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Oznaka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razine</w:t>
      </w:r>
      <w:proofErr w:type="spellEnd"/>
      <w:r w:rsidRPr="00F476A0">
        <w:rPr>
          <w:sz w:val="22"/>
          <w:szCs w:val="22"/>
        </w:rPr>
        <w:t>: 31</w:t>
      </w:r>
    </w:p>
    <w:p w14:paraId="4E05555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djelatnosti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razdjel</w:t>
      </w:r>
      <w:proofErr w:type="spellEnd"/>
      <w:r w:rsidRPr="00F476A0">
        <w:rPr>
          <w:sz w:val="22"/>
          <w:szCs w:val="22"/>
        </w:rPr>
        <w:t>: 8559</w:t>
      </w:r>
    </w:p>
    <w:p w14:paraId="3DA73C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općine</w:t>
      </w:r>
      <w:proofErr w:type="spellEnd"/>
      <w:r w:rsidRPr="00F476A0">
        <w:rPr>
          <w:sz w:val="22"/>
          <w:szCs w:val="22"/>
        </w:rPr>
        <w:t>: 541</w:t>
      </w:r>
    </w:p>
    <w:p w14:paraId="53B5A696" w14:textId="213A7DE5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Žiro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</w:t>
      </w:r>
      <w:proofErr w:type="spellEnd"/>
      <w:r w:rsidRPr="00F476A0">
        <w:rPr>
          <w:sz w:val="22"/>
          <w:szCs w:val="22"/>
        </w:rPr>
        <w:t>: HR</w:t>
      </w:r>
      <w:r w:rsidR="00F77AA8" w:rsidRPr="00F476A0">
        <w:rPr>
          <w:sz w:val="22"/>
          <w:szCs w:val="22"/>
        </w:rPr>
        <w:t>3824020061500067581</w:t>
      </w:r>
    </w:p>
    <w:p w14:paraId="7AC4B97B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Škola: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posluje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Zakonom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odgoju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osnovnoj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srednjoj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Statutom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škole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Vodi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planu</w:t>
      </w:r>
      <w:proofErr w:type="spellEnd"/>
      <w:r w:rsidRPr="00F476A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sastavlja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predaje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s </w:t>
      </w:r>
      <w:proofErr w:type="spellStart"/>
      <w:r w:rsidRPr="00F476A0">
        <w:rPr>
          <w:sz w:val="22"/>
          <w:szCs w:val="22"/>
        </w:rPr>
        <w:t>odredbama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financijskom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>.</w:t>
      </w:r>
    </w:p>
    <w:p w14:paraId="680CA09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77992E7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PR-RAS:</w:t>
      </w:r>
    </w:p>
    <w:p w14:paraId="1E057DCA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B768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Struktura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vidljiva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obrasca</w:t>
      </w:r>
      <w:proofErr w:type="spellEnd"/>
      <w:r w:rsidRPr="00F476A0">
        <w:rPr>
          <w:sz w:val="22"/>
          <w:szCs w:val="22"/>
        </w:rPr>
        <w:t>:</w:t>
      </w:r>
    </w:p>
    <w:p w14:paraId="3E1DBBFD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1B9A5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1. - AOP 063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Pomoći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subjekata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unutar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države</w:t>
      </w:r>
      <w:proofErr w:type="spellEnd"/>
      <w:r w:rsidRPr="00F476A0">
        <w:rPr>
          <w:b/>
          <w:sz w:val="24"/>
          <w:szCs w:val="24"/>
        </w:rPr>
        <w:t xml:space="preserve">; </w:t>
      </w:r>
    </w:p>
    <w:p w14:paraId="43FBB58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koji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doznačen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državnog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sredstava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srednjeg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</w:p>
    <w:p w14:paraId="2A6FB391" w14:textId="1F6EB300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="00F77AA8" w:rsidRPr="00F476A0">
        <w:rPr>
          <w:sz w:val="22"/>
          <w:szCs w:val="22"/>
        </w:rPr>
        <w:t>veći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za </w:t>
      </w:r>
      <w:r w:rsidR="000B011D">
        <w:rPr>
          <w:sz w:val="22"/>
          <w:szCs w:val="22"/>
        </w:rPr>
        <w:t>4,8</w:t>
      </w:r>
      <w:r w:rsidRPr="00F476A0">
        <w:rPr>
          <w:sz w:val="22"/>
          <w:szCs w:val="22"/>
        </w:rPr>
        <w:t xml:space="preserve">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0B011D">
        <w:rPr>
          <w:sz w:val="22"/>
          <w:szCs w:val="22"/>
        </w:rPr>
        <w:t>8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</w:t>
      </w:r>
    </w:p>
    <w:p w14:paraId="1A488C02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športa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podmirivanje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(</w:t>
      </w:r>
      <w:proofErr w:type="spellStart"/>
      <w:r w:rsidRPr="00F476A0">
        <w:rPr>
          <w:sz w:val="22"/>
          <w:szCs w:val="22"/>
        </w:rPr>
        <w:t>bruto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doprinosa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ugovora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djelu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vanjske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suradnike</w:t>
      </w:r>
      <w:proofErr w:type="spellEnd"/>
      <w:r w:rsidRPr="00F476A0">
        <w:rPr>
          <w:sz w:val="22"/>
          <w:szCs w:val="22"/>
        </w:rPr>
        <w:t>).</w:t>
      </w:r>
    </w:p>
    <w:p w14:paraId="6C2FE365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4337C27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2. - AOP 105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Prihodi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administrativnih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pristojbi</w:t>
      </w:r>
      <w:proofErr w:type="spellEnd"/>
      <w:r w:rsidRPr="00F476A0">
        <w:rPr>
          <w:b/>
          <w:sz w:val="24"/>
          <w:szCs w:val="24"/>
        </w:rPr>
        <w:t xml:space="preserve"> i po </w:t>
      </w:r>
      <w:proofErr w:type="spellStart"/>
      <w:r w:rsidRPr="00F476A0">
        <w:rPr>
          <w:b/>
          <w:sz w:val="24"/>
          <w:szCs w:val="24"/>
        </w:rPr>
        <w:t>posebnim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propisima</w:t>
      </w:r>
      <w:proofErr w:type="spellEnd"/>
      <w:r w:rsidRPr="00F476A0">
        <w:rPr>
          <w:b/>
          <w:sz w:val="24"/>
          <w:szCs w:val="24"/>
        </w:rPr>
        <w:t xml:space="preserve">; </w:t>
      </w:r>
    </w:p>
    <w:p w14:paraId="462E8B5B" w14:textId="1FF03088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cijene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učenika</w:t>
      </w:r>
      <w:proofErr w:type="spellEnd"/>
      <w:r w:rsidR="00F77AA8" w:rsidRPr="00F476A0">
        <w:rPr>
          <w:sz w:val="22"/>
          <w:szCs w:val="22"/>
        </w:rPr>
        <w:t xml:space="preserve"> </w:t>
      </w:r>
      <w:proofErr w:type="spellStart"/>
      <w:r w:rsidR="00F77AA8" w:rsidRPr="00F476A0">
        <w:rPr>
          <w:sz w:val="22"/>
          <w:szCs w:val="22"/>
        </w:rPr>
        <w:t>manji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je za </w:t>
      </w:r>
      <w:r w:rsidR="000B011D">
        <w:rPr>
          <w:sz w:val="22"/>
          <w:szCs w:val="22"/>
        </w:rPr>
        <w:t>1,5</w:t>
      </w:r>
      <w:r w:rsidRPr="00F476A0">
        <w:rPr>
          <w:sz w:val="22"/>
          <w:szCs w:val="22"/>
        </w:rPr>
        <w:t xml:space="preserve">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0B011D">
        <w:rPr>
          <w:sz w:val="22"/>
          <w:szCs w:val="22"/>
        </w:rPr>
        <w:t>8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>.</w:t>
      </w:r>
    </w:p>
    <w:p w14:paraId="02A4FBD4" w14:textId="6D21C24A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3278AA4" w14:textId="14084255" w:rsidR="00F77AA8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lastRenderedPageBreak/>
        <w:t>3. – AOP 127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Donacije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pravnih</w:t>
      </w:r>
      <w:proofErr w:type="spellEnd"/>
      <w:r w:rsidRPr="00F476A0">
        <w:rPr>
          <w:b/>
          <w:sz w:val="24"/>
          <w:szCs w:val="24"/>
        </w:rPr>
        <w:t xml:space="preserve"> i </w:t>
      </w:r>
      <w:proofErr w:type="spellStart"/>
      <w:r w:rsidRPr="00F476A0">
        <w:rPr>
          <w:b/>
          <w:sz w:val="24"/>
          <w:szCs w:val="24"/>
        </w:rPr>
        <w:t>fizičkih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osoba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izvan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općeg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proračuna</w:t>
      </w:r>
      <w:proofErr w:type="spellEnd"/>
      <w:r w:rsidRPr="00F476A0">
        <w:rPr>
          <w:b/>
          <w:sz w:val="24"/>
          <w:szCs w:val="24"/>
        </w:rPr>
        <w:t xml:space="preserve"> (AOP 128+129)</w:t>
      </w:r>
    </w:p>
    <w:p w14:paraId="1BE56C01" w14:textId="07AC1C69" w:rsidR="00F77AA8" w:rsidRPr="00F476A0" w:rsidRDefault="00F77AA8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Fizička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osoba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donirala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glazbeni</w:t>
      </w:r>
      <w:proofErr w:type="spellEnd"/>
      <w:r w:rsidRPr="00F476A0">
        <w:rPr>
          <w:sz w:val="22"/>
          <w:szCs w:val="22"/>
        </w:rPr>
        <w:t xml:space="preserve"> instrument, </w:t>
      </w:r>
      <w:proofErr w:type="spellStart"/>
      <w:r w:rsidRPr="00F476A0">
        <w:rPr>
          <w:sz w:val="22"/>
          <w:szCs w:val="22"/>
        </w:rPr>
        <w:t>harmoniku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</w:t>
      </w:r>
      <w:r w:rsidR="000B011D">
        <w:rPr>
          <w:sz w:val="22"/>
          <w:szCs w:val="22"/>
        </w:rPr>
        <w:t>600,00</w:t>
      </w:r>
      <w:r w:rsidRPr="00F476A0">
        <w:rPr>
          <w:sz w:val="22"/>
          <w:szCs w:val="22"/>
        </w:rPr>
        <w:t xml:space="preserve"> kn.</w:t>
      </w:r>
    </w:p>
    <w:p w14:paraId="70FB7374" w14:textId="79890E24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9F07597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0E5D985C" w14:textId="2D67407D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4</w:t>
      </w:r>
      <w:r w:rsidR="008133D0" w:rsidRPr="00F476A0">
        <w:rPr>
          <w:b/>
          <w:sz w:val="24"/>
          <w:szCs w:val="24"/>
        </w:rPr>
        <w:t>. - AOP 130</w:t>
      </w:r>
      <w:r w:rsidR="008133D0" w:rsidRPr="00F476A0">
        <w:rPr>
          <w:b/>
          <w:sz w:val="24"/>
          <w:szCs w:val="24"/>
        </w:rPr>
        <w:tab/>
      </w:r>
      <w:proofErr w:type="spellStart"/>
      <w:r w:rsidR="008133D0" w:rsidRPr="00F476A0">
        <w:rPr>
          <w:b/>
          <w:sz w:val="24"/>
          <w:szCs w:val="24"/>
        </w:rPr>
        <w:t>Prihodi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iz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 xml:space="preserve"> za </w:t>
      </w:r>
      <w:proofErr w:type="spellStart"/>
      <w:r w:rsidR="008133D0" w:rsidRPr="00F476A0">
        <w:rPr>
          <w:b/>
          <w:sz w:val="24"/>
          <w:szCs w:val="24"/>
        </w:rPr>
        <w:t>financiranje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redovne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djelatnosti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korisnika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 xml:space="preserve">; </w:t>
      </w:r>
    </w:p>
    <w:p w14:paraId="37AAB893" w14:textId="30DA65C0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to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osnovnog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Napominjemo</w:t>
      </w:r>
      <w:proofErr w:type="spellEnd"/>
      <w:r w:rsidRPr="00F476A0">
        <w:rPr>
          <w:sz w:val="22"/>
          <w:szCs w:val="22"/>
        </w:rPr>
        <w:t xml:space="preserve"> da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našem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knjigovodstvu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uputi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nadležnog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analitičkom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računu</w:t>
      </w:r>
      <w:proofErr w:type="spellEnd"/>
      <w:r w:rsidRPr="00F476A0">
        <w:rPr>
          <w:sz w:val="22"/>
          <w:szCs w:val="22"/>
        </w:rPr>
        <w:t xml:space="preserve"> 671111 (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) </w:t>
      </w:r>
      <w:proofErr w:type="spellStart"/>
      <w:r w:rsidRPr="00F476A0">
        <w:rPr>
          <w:sz w:val="22"/>
          <w:szCs w:val="22"/>
        </w:rPr>
        <w:t>knjižili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od </w:t>
      </w:r>
      <w:r w:rsidR="000B011D">
        <w:rPr>
          <w:sz w:val="22"/>
          <w:szCs w:val="22"/>
        </w:rPr>
        <w:t xml:space="preserve">100.948 </w:t>
      </w:r>
      <w:r w:rsidRPr="00F476A0">
        <w:rPr>
          <w:sz w:val="22"/>
          <w:szCs w:val="22"/>
        </w:rPr>
        <w:t xml:space="preserve"> kn.</w:t>
      </w:r>
    </w:p>
    <w:p w14:paraId="2B779DE5" w14:textId="215FCA66" w:rsidR="008133D0" w:rsidRPr="00787A7F" w:rsidRDefault="008133D0" w:rsidP="00787A7F">
      <w:pPr>
        <w:pStyle w:val="KlUrbrDat"/>
        <w:rPr>
          <w:sz w:val="22"/>
          <w:szCs w:val="22"/>
        </w:rPr>
      </w:pPr>
      <w:proofErr w:type="spellStart"/>
      <w:r w:rsidRPr="00787A7F">
        <w:rPr>
          <w:sz w:val="22"/>
          <w:szCs w:val="22"/>
        </w:rPr>
        <w:t>Ukupni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ostvareni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iznos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AOP 130 </w:t>
      </w:r>
      <w:proofErr w:type="spellStart"/>
      <w:r w:rsidR="000B011D">
        <w:rPr>
          <w:sz w:val="22"/>
          <w:szCs w:val="22"/>
        </w:rPr>
        <w:t>veći</w:t>
      </w:r>
      <w:proofErr w:type="spellEnd"/>
      <w:r w:rsidR="004003A7" w:rsidRPr="00787A7F">
        <w:rPr>
          <w:sz w:val="22"/>
          <w:szCs w:val="22"/>
        </w:rPr>
        <w:t xml:space="preserve"> </w:t>
      </w:r>
      <w:r w:rsidRPr="00787A7F">
        <w:rPr>
          <w:sz w:val="22"/>
          <w:szCs w:val="22"/>
        </w:rPr>
        <w:t xml:space="preserve"> je za  </w:t>
      </w:r>
      <w:r w:rsidR="004003A7" w:rsidRPr="00787A7F">
        <w:rPr>
          <w:sz w:val="22"/>
          <w:szCs w:val="22"/>
        </w:rPr>
        <w:t>1</w:t>
      </w:r>
      <w:r w:rsidR="000B011D">
        <w:rPr>
          <w:sz w:val="22"/>
          <w:szCs w:val="22"/>
        </w:rPr>
        <w:t>8</w:t>
      </w:r>
      <w:r w:rsidR="004003A7" w:rsidRPr="00787A7F">
        <w:rPr>
          <w:sz w:val="22"/>
          <w:szCs w:val="22"/>
        </w:rPr>
        <w:t>,</w:t>
      </w:r>
      <w:r w:rsidR="000B011D">
        <w:rPr>
          <w:sz w:val="22"/>
          <w:szCs w:val="22"/>
        </w:rPr>
        <w:t>2</w:t>
      </w:r>
      <w:r w:rsidRPr="00787A7F">
        <w:rPr>
          <w:sz w:val="22"/>
          <w:szCs w:val="22"/>
        </w:rPr>
        <w:t xml:space="preserve"> %  u </w:t>
      </w:r>
      <w:proofErr w:type="spellStart"/>
      <w:r w:rsidRPr="00787A7F">
        <w:rPr>
          <w:sz w:val="22"/>
          <w:szCs w:val="22"/>
        </w:rPr>
        <w:t>odnosu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201</w:t>
      </w:r>
      <w:r w:rsidR="000B011D">
        <w:rPr>
          <w:sz w:val="22"/>
          <w:szCs w:val="22"/>
        </w:rPr>
        <w:t>8</w:t>
      </w:r>
      <w:r w:rsidRPr="00787A7F">
        <w:rPr>
          <w:sz w:val="22"/>
          <w:szCs w:val="22"/>
        </w:rPr>
        <w:t xml:space="preserve">. </w:t>
      </w:r>
      <w:proofErr w:type="spellStart"/>
      <w:r w:rsidRPr="00787A7F">
        <w:rPr>
          <w:sz w:val="22"/>
          <w:szCs w:val="22"/>
        </w:rPr>
        <w:t>godinu</w:t>
      </w:r>
      <w:proofErr w:type="spellEnd"/>
      <w:r w:rsidRPr="00787A7F">
        <w:rPr>
          <w:sz w:val="22"/>
          <w:szCs w:val="22"/>
        </w:rPr>
        <w:t>.</w:t>
      </w:r>
    </w:p>
    <w:p w14:paraId="26F12067" w14:textId="77777777" w:rsidR="008133D0" w:rsidRPr="00787A7F" w:rsidRDefault="008133D0" w:rsidP="00787A7F">
      <w:pPr>
        <w:pStyle w:val="KlUrbrDat"/>
        <w:rPr>
          <w:sz w:val="22"/>
          <w:szCs w:val="22"/>
        </w:rPr>
      </w:pPr>
    </w:p>
    <w:p w14:paraId="0B74CA77" w14:textId="3E1F782C" w:rsidR="008133D0" w:rsidRPr="00787A7F" w:rsidRDefault="008133D0" w:rsidP="00787A7F">
      <w:pPr>
        <w:pStyle w:val="KlUrbrDat"/>
        <w:rPr>
          <w:sz w:val="22"/>
          <w:szCs w:val="22"/>
        </w:rPr>
      </w:pPr>
      <w:r w:rsidRPr="00787A7F">
        <w:rPr>
          <w:sz w:val="22"/>
          <w:szCs w:val="22"/>
        </w:rPr>
        <w:t xml:space="preserve">U </w:t>
      </w:r>
      <w:proofErr w:type="spellStart"/>
      <w:r w:rsidRPr="00787A7F">
        <w:rPr>
          <w:sz w:val="22"/>
          <w:szCs w:val="22"/>
        </w:rPr>
        <w:t>strukturi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rashoda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vidljivo</w:t>
      </w:r>
      <w:proofErr w:type="spellEnd"/>
      <w:r w:rsidRPr="00787A7F">
        <w:rPr>
          <w:sz w:val="22"/>
          <w:szCs w:val="22"/>
        </w:rPr>
        <w:t xml:space="preserve"> je </w:t>
      </w:r>
      <w:proofErr w:type="spellStart"/>
      <w:r w:rsidRPr="00787A7F">
        <w:rPr>
          <w:sz w:val="22"/>
          <w:szCs w:val="22"/>
        </w:rPr>
        <w:t>svi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ostali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kreću</w:t>
      </w:r>
      <w:proofErr w:type="spellEnd"/>
      <w:r w:rsidRPr="00787A7F">
        <w:rPr>
          <w:sz w:val="22"/>
          <w:szCs w:val="22"/>
        </w:rPr>
        <w:t xml:space="preserve"> u </w:t>
      </w:r>
      <w:proofErr w:type="spellStart"/>
      <w:r w:rsidRPr="00787A7F">
        <w:rPr>
          <w:sz w:val="22"/>
          <w:szCs w:val="22"/>
        </w:rPr>
        <w:t>okviru</w:t>
      </w:r>
      <w:proofErr w:type="spellEnd"/>
      <w:r w:rsidRPr="00787A7F">
        <w:rPr>
          <w:sz w:val="22"/>
          <w:szCs w:val="22"/>
        </w:rPr>
        <w:t xml:space="preserve"> plana za 201</w:t>
      </w:r>
      <w:r w:rsidR="000B011D">
        <w:rPr>
          <w:sz w:val="22"/>
          <w:szCs w:val="22"/>
        </w:rPr>
        <w:t>9</w:t>
      </w:r>
      <w:r w:rsidRPr="00787A7F">
        <w:rPr>
          <w:sz w:val="22"/>
          <w:szCs w:val="22"/>
        </w:rPr>
        <w:t>.godinu.</w:t>
      </w:r>
    </w:p>
    <w:p w14:paraId="3A649C17" w14:textId="77777777" w:rsidR="004003A7" w:rsidRPr="004003A7" w:rsidRDefault="004003A7" w:rsidP="008133D0">
      <w:pPr>
        <w:pStyle w:val="KlUrbrDat"/>
        <w:rPr>
          <w:color w:val="auto"/>
          <w:sz w:val="22"/>
          <w:szCs w:val="22"/>
        </w:rPr>
      </w:pPr>
    </w:p>
    <w:p w14:paraId="4E14E68E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Napomena</w:t>
      </w:r>
      <w:proofErr w:type="spellEnd"/>
      <w:r w:rsidRPr="00F476A0">
        <w:rPr>
          <w:sz w:val="22"/>
          <w:szCs w:val="22"/>
        </w:rPr>
        <w:t xml:space="preserve">: </w:t>
      </w:r>
    </w:p>
    <w:p w14:paraId="12DDA4B7" w14:textId="7CD63D77" w:rsidR="004003A7" w:rsidRPr="00F476A0" w:rsidRDefault="004003A7" w:rsidP="004003A7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Na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201</w:t>
      </w:r>
      <w:r w:rsidR="000B011D">
        <w:rPr>
          <w:sz w:val="22"/>
          <w:szCs w:val="22"/>
        </w:rPr>
        <w:t>8</w:t>
      </w:r>
      <w:r w:rsidRPr="00F476A0">
        <w:rPr>
          <w:sz w:val="22"/>
          <w:szCs w:val="22"/>
        </w:rPr>
        <w:t>.godine i</w:t>
      </w:r>
      <w:proofErr w:type="spellStart"/>
      <w:r w:rsidRPr="00F476A0">
        <w:rPr>
          <w:sz w:val="22"/>
          <w:szCs w:val="22"/>
        </w:rPr>
        <w:t>skazali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rezultat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od </w:t>
      </w:r>
      <w:r w:rsidR="000B011D">
        <w:rPr>
          <w:sz w:val="22"/>
          <w:szCs w:val="22"/>
        </w:rPr>
        <w:t xml:space="preserve">155.545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koji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prenosi</w:t>
      </w:r>
      <w:proofErr w:type="spellEnd"/>
      <w:r w:rsidRPr="00F476A0">
        <w:rPr>
          <w:sz w:val="22"/>
          <w:szCs w:val="22"/>
        </w:rPr>
        <w:t xml:space="preserve"> u 201</w:t>
      </w:r>
      <w:r w:rsidR="000B011D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Ove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r w:rsidR="000B011D">
        <w:rPr>
          <w:sz w:val="22"/>
          <w:szCs w:val="22"/>
        </w:rPr>
        <w:t>64.990</w:t>
      </w:r>
      <w:r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 a </w:t>
      </w:r>
      <w:proofErr w:type="spellStart"/>
      <w:r w:rsidRPr="00F476A0">
        <w:rPr>
          <w:sz w:val="22"/>
          <w:szCs w:val="22"/>
        </w:rPr>
        <w:t>potrošiti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će</w:t>
      </w:r>
      <w:proofErr w:type="spellEnd"/>
      <w:r w:rsidRPr="00F476A0">
        <w:rPr>
          <w:sz w:val="22"/>
          <w:szCs w:val="22"/>
        </w:rPr>
        <w:t xml:space="preserve"> se u </w:t>
      </w:r>
      <w:proofErr w:type="spellStart"/>
      <w:r w:rsidRPr="00F476A0">
        <w:rPr>
          <w:sz w:val="22"/>
          <w:szCs w:val="22"/>
        </w:rPr>
        <w:t>razdoblju</w:t>
      </w:r>
      <w:proofErr w:type="spellEnd"/>
      <w:r w:rsidRPr="00F476A0">
        <w:rPr>
          <w:sz w:val="22"/>
          <w:szCs w:val="22"/>
        </w:rPr>
        <w:t xml:space="preserve"> 20</w:t>
      </w:r>
      <w:r w:rsidR="000B011D">
        <w:rPr>
          <w:sz w:val="22"/>
          <w:szCs w:val="22"/>
        </w:rPr>
        <w:t>20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>.</w:t>
      </w:r>
    </w:p>
    <w:p w14:paraId="1A87EFCE" w14:textId="13756B7D" w:rsidR="008133D0" w:rsidRDefault="008133D0" w:rsidP="008133D0">
      <w:pPr>
        <w:pStyle w:val="KlUrbrDat"/>
        <w:rPr>
          <w:sz w:val="22"/>
          <w:szCs w:val="22"/>
        </w:rPr>
      </w:pPr>
    </w:p>
    <w:p w14:paraId="1AA94C9D" w14:textId="77777777" w:rsidR="004003A7" w:rsidRPr="00F476A0" w:rsidRDefault="004003A7" w:rsidP="008133D0">
      <w:pPr>
        <w:pStyle w:val="KlUrbrDat"/>
        <w:rPr>
          <w:sz w:val="22"/>
          <w:szCs w:val="22"/>
        </w:rPr>
      </w:pPr>
    </w:p>
    <w:p w14:paraId="6C076AA1" w14:textId="67E6CC9C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5. – AOP 150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C446486" w14:textId="1A2E5FE4" w:rsidR="00F77AA8" w:rsidRPr="00F476A0" w:rsidRDefault="00F77AA8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redovan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radu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ukupnom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>.</w:t>
      </w:r>
    </w:p>
    <w:p w14:paraId="00216E58" w14:textId="1D92E882" w:rsidR="00F77AA8" w:rsidRPr="00F476A0" w:rsidRDefault="00F77AA8" w:rsidP="00F77AA8">
      <w:pPr>
        <w:pStyle w:val="KlUrbrDat"/>
        <w:rPr>
          <w:sz w:val="22"/>
          <w:szCs w:val="22"/>
        </w:rPr>
      </w:pPr>
    </w:p>
    <w:p w14:paraId="27EE8218" w14:textId="4F851A0C" w:rsidR="00F77AA8" w:rsidRPr="00F476A0" w:rsidRDefault="00F77AA8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6. – AOP 155</w:t>
      </w:r>
      <w:r w:rsidR="00F476A0" w:rsidRPr="00F476A0">
        <w:rPr>
          <w:b/>
          <w:sz w:val="24"/>
          <w:szCs w:val="24"/>
        </w:rPr>
        <w:t xml:space="preserve"> </w:t>
      </w:r>
      <w:r w:rsidR="00F476A0" w:rsidRPr="00F476A0">
        <w:rPr>
          <w:b/>
          <w:sz w:val="24"/>
          <w:szCs w:val="24"/>
        </w:rPr>
        <w:tab/>
      </w:r>
      <w:proofErr w:type="spellStart"/>
      <w:r w:rsidR="00F476A0" w:rsidRPr="00F476A0">
        <w:rPr>
          <w:b/>
          <w:sz w:val="24"/>
          <w:szCs w:val="24"/>
        </w:rPr>
        <w:t>Ostali</w:t>
      </w:r>
      <w:proofErr w:type="spellEnd"/>
      <w:r w:rsidR="00F476A0" w:rsidRPr="00F476A0">
        <w:rPr>
          <w:b/>
          <w:sz w:val="24"/>
          <w:szCs w:val="24"/>
        </w:rPr>
        <w:t xml:space="preserve"> </w:t>
      </w:r>
      <w:proofErr w:type="spellStart"/>
      <w:r w:rsidR="00F476A0" w:rsidRPr="00F476A0">
        <w:rPr>
          <w:b/>
          <w:sz w:val="24"/>
          <w:szCs w:val="24"/>
        </w:rPr>
        <w:t>rashodi</w:t>
      </w:r>
      <w:proofErr w:type="spellEnd"/>
      <w:r w:rsidR="00F476A0" w:rsidRPr="00F476A0">
        <w:rPr>
          <w:b/>
          <w:sz w:val="24"/>
          <w:szCs w:val="24"/>
        </w:rPr>
        <w:t xml:space="preserve"> za </w:t>
      </w:r>
      <w:proofErr w:type="spellStart"/>
      <w:r w:rsidR="00F476A0" w:rsidRPr="00F476A0">
        <w:rPr>
          <w:b/>
          <w:sz w:val="24"/>
          <w:szCs w:val="24"/>
        </w:rPr>
        <w:t>zaposlene</w:t>
      </w:r>
      <w:proofErr w:type="spellEnd"/>
    </w:p>
    <w:p w14:paraId="40450C83" w14:textId="34FAB5D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 za </w:t>
      </w:r>
      <w:proofErr w:type="spellStart"/>
      <w:r w:rsidRPr="00F476A0">
        <w:rPr>
          <w:sz w:val="22"/>
          <w:szCs w:val="22"/>
        </w:rPr>
        <w:t>ostarena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materijalna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zajamčena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Temeljni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Granskim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kolektivnim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ugovorom</w:t>
      </w:r>
      <w:proofErr w:type="spellEnd"/>
      <w:r w:rsidRPr="00F476A0">
        <w:rPr>
          <w:sz w:val="22"/>
          <w:szCs w:val="22"/>
        </w:rPr>
        <w:t>.</w:t>
      </w:r>
    </w:p>
    <w:p w14:paraId="111ECF80" w14:textId="660B2588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4ABCFE9" w14:textId="03E229E1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7. – AOP 156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Doprinosi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na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66D3E75" w14:textId="40778CC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Doprinosi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</w:p>
    <w:p w14:paraId="45607FF7" w14:textId="221A0B96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C3B3FB3" w14:textId="461708A7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8. – AOP 160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Materijalni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CB3D850" w14:textId="741B48C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Naknade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prijevoz</w:t>
      </w:r>
      <w:proofErr w:type="spellEnd"/>
      <w:r w:rsidRPr="00F476A0">
        <w:rPr>
          <w:sz w:val="22"/>
          <w:szCs w:val="22"/>
        </w:rPr>
        <w:t xml:space="preserve">, za rad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terenu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odvojen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život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>.</w:t>
      </w:r>
    </w:p>
    <w:p w14:paraId="55C39292" w14:textId="3569BD33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348C0B92" w14:textId="5131B00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Energija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komunalne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Velika Gorica.</w:t>
      </w:r>
    </w:p>
    <w:p w14:paraId="7A3A8AC7" w14:textId="4D4E29F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materijlani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sufinanciranje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4AAC5B78" w14:textId="513DDEAA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D93F1F4" w14:textId="4ED5A608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 xml:space="preserve">9.  – AOP 193 </w:t>
      </w:r>
      <w:proofErr w:type="spellStart"/>
      <w:r w:rsidRPr="00F476A0">
        <w:rPr>
          <w:b/>
          <w:sz w:val="24"/>
          <w:szCs w:val="24"/>
        </w:rPr>
        <w:t>Financijski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54F5460" w14:textId="56FB713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07333B01" w14:textId="536B37AE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B6DF0FE" w14:textId="77777777" w:rsidR="00424F18" w:rsidRDefault="00424F18" w:rsidP="00F77AA8">
      <w:pPr>
        <w:pStyle w:val="KlUrbrDat"/>
        <w:rPr>
          <w:b/>
          <w:sz w:val="24"/>
          <w:szCs w:val="24"/>
        </w:rPr>
      </w:pPr>
    </w:p>
    <w:p w14:paraId="5343EF64" w14:textId="2CE795E3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lastRenderedPageBreak/>
        <w:t>10. – AOP 354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  <w:r w:rsidRPr="00F476A0">
        <w:rPr>
          <w:b/>
          <w:sz w:val="24"/>
          <w:szCs w:val="24"/>
        </w:rPr>
        <w:t xml:space="preserve"> za </w:t>
      </w:r>
      <w:proofErr w:type="spellStart"/>
      <w:r w:rsidRPr="00F476A0">
        <w:rPr>
          <w:b/>
          <w:sz w:val="24"/>
          <w:szCs w:val="24"/>
        </w:rPr>
        <w:t>nabavu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proizvedene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dugotrajne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imovine</w:t>
      </w:r>
      <w:proofErr w:type="spellEnd"/>
    </w:p>
    <w:p w14:paraId="3C425857" w14:textId="68E2A3B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Nabava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dugotrajne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6495D48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30639F8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5CE329F" w14:textId="77777777" w:rsidR="004003A7" w:rsidRPr="00F476A0" w:rsidRDefault="004003A7" w:rsidP="004003A7">
      <w:pPr>
        <w:pStyle w:val="KlUrbrDa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F476A0">
        <w:rPr>
          <w:b/>
          <w:sz w:val="22"/>
          <w:szCs w:val="22"/>
        </w:rPr>
        <w:t xml:space="preserve">. – AOP 635  </w:t>
      </w:r>
    </w:p>
    <w:p w14:paraId="7278BAAD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primitaka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raspoloživih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sljedećem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utrošiti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ćemo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materijalne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investicijsko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održavanje</w:t>
      </w:r>
      <w:proofErr w:type="spellEnd"/>
      <w:r w:rsidRPr="00F476A0">
        <w:rPr>
          <w:sz w:val="22"/>
          <w:szCs w:val="22"/>
        </w:rPr>
        <w:t>.</w:t>
      </w:r>
    </w:p>
    <w:p w14:paraId="70A89360" w14:textId="28CA6593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47CF095" w14:textId="28267E7D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7CF4CA3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72F3CCA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RAS – </w:t>
      </w:r>
      <w:proofErr w:type="spellStart"/>
      <w:r w:rsidRPr="00F476A0">
        <w:rPr>
          <w:b/>
          <w:sz w:val="22"/>
          <w:szCs w:val="22"/>
          <w:u w:val="single"/>
        </w:rPr>
        <w:t>funkcijski</w:t>
      </w:r>
      <w:proofErr w:type="spellEnd"/>
    </w:p>
    <w:p w14:paraId="0A3BC5E9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F52A6C" w14:textId="77777777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110 </w:t>
      </w:r>
    </w:p>
    <w:p w14:paraId="32243BC9" w14:textId="1FCB43CF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ukupni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nabavu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nisu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drugdje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svrstane</w:t>
      </w:r>
      <w:proofErr w:type="spellEnd"/>
      <w:r w:rsidRPr="00F476A0">
        <w:rPr>
          <w:sz w:val="22"/>
          <w:szCs w:val="22"/>
        </w:rPr>
        <w:t>.</w:t>
      </w:r>
    </w:p>
    <w:p w14:paraId="3316541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AA456BC" w14:textId="67F89300" w:rsidR="008133D0" w:rsidRDefault="008133D0" w:rsidP="008133D0">
      <w:pPr>
        <w:pStyle w:val="KlUrbrDat"/>
        <w:rPr>
          <w:sz w:val="22"/>
          <w:szCs w:val="22"/>
        </w:rPr>
      </w:pPr>
    </w:p>
    <w:p w14:paraId="462C68A0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DA0517A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BIL:</w:t>
      </w:r>
    </w:p>
    <w:p w14:paraId="5A626D7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6E7B7B0" w14:textId="70E193D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002 </w:t>
      </w:r>
      <w:proofErr w:type="spellStart"/>
      <w:r w:rsidRPr="00862524">
        <w:rPr>
          <w:b/>
          <w:sz w:val="24"/>
          <w:szCs w:val="24"/>
        </w:rPr>
        <w:t>Nefinancijska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</w:p>
    <w:p w14:paraId="0D0D63C4" w14:textId="331992CB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U </w:t>
      </w:r>
      <w:proofErr w:type="spellStart"/>
      <w:r w:rsidRPr="00F476A0">
        <w:rPr>
          <w:sz w:val="22"/>
          <w:szCs w:val="22"/>
        </w:rPr>
        <w:t>ovoj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godini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veći</w:t>
      </w:r>
      <w:proofErr w:type="spellEnd"/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za </w:t>
      </w:r>
      <w:r w:rsidR="000B011D">
        <w:rPr>
          <w:sz w:val="22"/>
          <w:szCs w:val="22"/>
        </w:rPr>
        <w:t>18</w:t>
      </w:r>
      <w:r w:rsidR="00093920">
        <w:rPr>
          <w:sz w:val="22"/>
          <w:szCs w:val="22"/>
        </w:rPr>
        <w:t>,4</w:t>
      </w:r>
      <w:r w:rsidRPr="00F476A0">
        <w:rPr>
          <w:sz w:val="22"/>
          <w:szCs w:val="22"/>
        </w:rPr>
        <w:t xml:space="preserve">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0B011D">
        <w:rPr>
          <w:sz w:val="22"/>
          <w:szCs w:val="22"/>
        </w:rPr>
        <w:t>8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je  </w:t>
      </w:r>
      <w:proofErr w:type="spellStart"/>
      <w:r w:rsidRPr="00F476A0">
        <w:rPr>
          <w:sz w:val="22"/>
          <w:szCs w:val="22"/>
        </w:rPr>
        <w:t>rezultat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veće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nabave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opreme</w:t>
      </w:r>
      <w:proofErr w:type="spellEnd"/>
      <w:r w:rsidRPr="00F476A0">
        <w:rPr>
          <w:sz w:val="22"/>
          <w:szCs w:val="22"/>
        </w:rPr>
        <w:t>.</w:t>
      </w:r>
    </w:p>
    <w:p w14:paraId="55B9164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933D3BC" w14:textId="444EA1A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2. – AOP 063 </w:t>
      </w:r>
      <w:r w:rsidRPr="00862524">
        <w:rPr>
          <w:b/>
          <w:sz w:val="24"/>
          <w:szCs w:val="24"/>
        </w:rPr>
        <w:tab/>
      </w:r>
      <w:proofErr w:type="spellStart"/>
      <w:r w:rsidRPr="00862524">
        <w:rPr>
          <w:b/>
          <w:sz w:val="24"/>
          <w:szCs w:val="24"/>
        </w:rPr>
        <w:t>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  <w:r w:rsidRPr="00862524">
        <w:rPr>
          <w:b/>
          <w:sz w:val="24"/>
          <w:szCs w:val="24"/>
        </w:rPr>
        <w:t xml:space="preserve"> </w:t>
      </w:r>
    </w:p>
    <w:p w14:paraId="38981428" w14:textId="52870FB8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8133D0" w:rsidRPr="00F476A0">
        <w:rPr>
          <w:sz w:val="22"/>
          <w:szCs w:val="22"/>
        </w:rPr>
        <w:t>rijednost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financijske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 w:rsidR="008133D0" w:rsidRPr="00F476A0">
        <w:rPr>
          <w:sz w:val="22"/>
          <w:szCs w:val="22"/>
        </w:rPr>
        <w:t xml:space="preserve"> u </w:t>
      </w:r>
      <w:proofErr w:type="spellStart"/>
      <w:r w:rsidR="008133D0" w:rsidRPr="00F476A0">
        <w:rPr>
          <w:sz w:val="22"/>
          <w:szCs w:val="22"/>
        </w:rPr>
        <w:t>bilanci</w:t>
      </w:r>
      <w:proofErr w:type="spellEnd"/>
      <w:r w:rsidR="008133D0" w:rsidRPr="00F476A0">
        <w:rPr>
          <w:sz w:val="22"/>
          <w:szCs w:val="22"/>
        </w:rPr>
        <w:t xml:space="preserve"> je </w:t>
      </w:r>
      <w:proofErr w:type="spellStart"/>
      <w:r w:rsidR="008133D0" w:rsidRPr="00F476A0">
        <w:rPr>
          <w:sz w:val="22"/>
          <w:szCs w:val="22"/>
        </w:rPr>
        <w:t>iskazana</w:t>
      </w:r>
      <w:proofErr w:type="spellEnd"/>
      <w:r w:rsidR="008133D0" w:rsidRPr="00F476A0">
        <w:rPr>
          <w:sz w:val="22"/>
          <w:szCs w:val="22"/>
        </w:rPr>
        <w:t xml:space="preserve"> u   </w:t>
      </w:r>
      <w:proofErr w:type="spellStart"/>
      <w:r w:rsidR="008133D0" w:rsidRPr="00F476A0">
        <w:rPr>
          <w:sz w:val="22"/>
          <w:szCs w:val="22"/>
        </w:rPr>
        <w:t>iznosu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manjim</w:t>
      </w:r>
      <w:proofErr w:type="spellEnd"/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 za </w:t>
      </w:r>
      <w:r w:rsidR="00093920">
        <w:rPr>
          <w:sz w:val="22"/>
          <w:szCs w:val="22"/>
        </w:rPr>
        <w:t>2,</w:t>
      </w:r>
      <w:r w:rsidR="000B011D">
        <w:rPr>
          <w:sz w:val="22"/>
          <w:szCs w:val="22"/>
        </w:rPr>
        <w:t>2</w:t>
      </w:r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 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3D4A1A1F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2AC41C" w14:textId="55B85D5D" w:rsidR="00862524" w:rsidRDefault="008133D0" w:rsidP="008133D0">
      <w:pPr>
        <w:pStyle w:val="KlUrbrDat"/>
        <w:rPr>
          <w:sz w:val="22"/>
          <w:szCs w:val="22"/>
        </w:rPr>
      </w:pPr>
      <w:r w:rsidRPr="00862524">
        <w:rPr>
          <w:b/>
          <w:sz w:val="24"/>
          <w:szCs w:val="24"/>
        </w:rPr>
        <w:t>3. – AOP 16</w:t>
      </w:r>
      <w:r w:rsidR="00093920">
        <w:rPr>
          <w:b/>
          <w:sz w:val="24"/>
          <w:szCs w:val="24"/>
        </w:rPr>
        <w:t>3</w:t>
      </w:r>
      <w:r w:rsidRPr="00862524">
        <w:rPr>
          <w:b/>
          <w:sz w:val="24"/>
          <w:szCs w:val="24"/>
        </w:rPr>
        <w:tab/>
        <w:t xml:space="preserve"> </w:t>
      </w:r>
      <w:proofErr w:type="spellStart"/>
      <w:r w:rsidRPr="00862524">
        <w:rPr>
          <w:b/>
          <w:sz w:val="24"/>
          <w:szCs w:val="24"/>
        </w:rPr>
        <w:t>Obveze</w:t>
      </w:r>
      <w:proofErr w:type="spellEnd"/>
    </w:p>
    <w:p w14:paraId="5ED8FE10" w14:textId="4ACE5DE9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8133D0" w:rsidRPr="00F476A0">
        <w:rPr>
          <w:sz w:val="22"/>
          <w:szCs w:val="22"/>
        </w:rPr>
        <w:t>bveze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su</w:t>
      </w:r>
      <w:proofErr w:type="spellEnd"/>
      <w:r w:rsidR="008133D0" w:rsidRPr="00F476A0">
        <w:rPr>
          <w:sz w:val="22"/>
          <w:szCs w:val="22"/>
        </w:rPr>
        <w:t xml:space="preserve">  </w:t>
      </w:r>
      <w:proofErr w:type="spellStart"/>
      <w:r w:rsidR="008133D0" w:rsidRPr="00F476A0">
        <w:rPr>
          <w:sz w:val="22"/>
          <w:szCs w:val="22"/>
        </w:rPr>
        <w:t>veće</w:t>
      </w:r>
      <w:proofErr w:type="spellEnd"/>
      <w:r w:rsidR="008133D0" w:rsidRPr="00F476A0">
        <w:rPr>
          <w:sz w:val="22"/>
          <w:szCs w:val="22"/>
        </w:rPr>
        <w:t xml:space="preserve"> za</w:t>
      </w:r>
      <w:r w:rsidR="000B011D">
        <w:rPr>
          <w:sz w:val="22"/>
          <w:szCs w:val="22"/>
        </w:rPr>
        <w:t xml:space="preserve"> 16 </w:t>
      </w:r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45978DB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2259B5F" w14:textId="17CD3D12" w:rsidR="008133D0" w:rsidRDefault="008133D0" w:rsidP="008133D0">
      <w:pPr>
        <w:pStyle w:val="KlUrbrDat"/>
        <w:rPr>
          <w:sz w:val="22"/>
          <w:szCs w:val="22"/>
        </w:rPr>
      </w:pPr>
    </w:p>
    <w:p w14:paraId="37ACA1E6" w14:textId="74CBBD88" w:rsidR="00862524" w:rsidRDefault="00862524" w:rsidP="008133D0">
      <w:pPr>
        <w:pStyle w:val="KlUrbrDat"/>
        <w:rPr>
          <w:sz w:val="22"/>
          <w:szCs w:val="22"/>
        </w:rPr>
      </w:pPr>
    </w:p>
    <w:p w14:paraId="47330776" w14:textId="15E18448" w:rsidR="00862524" w:rsidRDefault="00862524" w:rsidP="008133D0">
      <w:pPr>
        <w:pStyle w:val="KlUrbrDat"/>
        <w:rPr>
          <w:sz w:val="22"/>
          <w:szCs w:val="22"/>
        </w:rPr>
      </w:pPr>
    </w:p>
    <w:p w14:paraId="079C6BCB" w14:textId="16E0069E" w:rsidR="00093920" w:rsidRDefault="00093920" w:rsidP="008133D0">
      <w:pPr>
        <w:pStyle w:val="KlUrbrDat"/>
        <w:rPr>
          <w:sz w:val="22"/>
          <w:szCs w:val="22"/>
        </w:rPr>
      </w:pPr>
    </w:p>
    <w:p w14:paraId="2B6A93E5" w14:textId="32B89062" w:rsidR="00093920" w:rsidRDefault="00093920" w:rsidP="008133D0">
      <w:pPr>
        <w:pStyle w:val="KlUrbrDat"/>
        <w:rPr>
          <w:sz w:val="22"/>
          <w:szCs w:val="22"/>
        </w:rPr>
      </w:pPr>
    </w:p>
    <w:p w14:paraId="6D87D16C" w14:textId="77777777" w:rsidR="00093920" w:rsidRDefault="00093920" w:rsidP="008133D0">
      <w:pPr>
        <w:pStyle w:val="KlUrbrDat"/>
        <w:rPr>
          <w:sz w:val="22"/>
          <w:szCs w:val="22"/>
        </w:rPr>
      </w:pPr>
    </w:p>
    <w:p w14:paraId="4A968DD2" w14:textId="30B6A51B" w:rsidR="00862524" w:rsidRDefault="00862524" w:rsidP="008133D0">
      <w:pPr>
        <w:pStyle w:val="KlUrbrDat"/>
        <w:rPr>
          <w:sz w:val="22"/>
          <w:szCs w:val="22"/>
        </w:rPr>
      </w:pPr>
    </w:p>
    <w:p w14:paraId="69E8D49F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57C6742F" w14:textId="3A8241CE" w:rsidR="008133D0" w:rsidRPr="00862524" w:rsidRDefault="008133D0" w:rsidP="008133D0">
      <w:pPr>
        <w:pStyle w:val="KlUrbrDat"/>
        <w:rPr>
          <w:b/>
          <w:sz w:val="24"/>
          <w:szCs w:val="24"/>
          <w:u w:val="single"/>
        </w:rPr>
      </w:pPr>
      <w:proofErr w:type="spellStart"/>
      <w:r w:rsidRPr="00862524">
        <w:rPr>
          <w:b/>
          <w:sz w:val="24"/>
          <w:szCs w:val="24"/>
          <w:u w:val="single"/>
        </w:rPr>
        <w:t>Obrazac</w:t>
      </w:r>
      <w:proofErr w:type="spellEnd"/>
      <w:r w:rsidRPr="00862524">
        <w:rPr>
          <w:b/>
          <w:sz w:val="24"/>
          <w:szCs w:val="24"/>
          <w:u w:val="single"/>
        </w:rPr>
        <w:t xml:space="preserve"> P-VRI</w:t>
      </w:r>
      <w:r w:rsidR="000B011D">
        <w:rPr>
          <w:b/>
          <w:sz w:val="24"/>
          <w:szCs w:val="24"/>
          <w:u w:val="single"/>
        </w:rPr>
        <w:t>O</w:t>
      </w:r>
    </w:p>
    <w:p w14:paraId="736425C2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40978E3" w14:textId="127BFC89" w:rsidR="008133D0" w:rsidRDefault="00093920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8133D0" w:rsidRPr="00F476A0">
        <w:rPr>
          <w:sz w:val="22"/>
          <w:szCs w:val="22"/>
        </w:rPr>
        <w:t>romjena</w:t>
      </w:r>
      <w:proofErr w:type="spellEnd"/>
      <w:r w:rsidR="008133D0" w:rsidRPr="00F476A0">
        <w:rPr>
          <w:sz w:val="22"/>
          <w:szCs w:val="22"/>
        </w:rPr>
        <w:t xml:space="preserve"> u </w:t>
      </w:r>
      <w:proofErr w:type="spellStart"/>
      <w:r w:rsidR="008133D0" w:rsidRPr="00F476A0">
        <w:rPr>
          <w:sz w:val="22"/>
          <w:szCs w:val="22"/>
        </w:rPr>
        <w:t>obujmu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nastala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0B011D">
        <w:rPr>
          <w:sz w:val="22"/>
          <w:szCs w:val="22"/>
        </w:rPr>
        <w:t>otpisom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zastarjelih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potraživanja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participaciju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>.</w:t>
      </w:r>
    </w:p>
    <w:p w14:paraId="02788DFA" w14:textId="65EB7175" w:rsidR="00862524" w:rsidRDefault="00862524" w:rsidP="008133D0">
      <w:pPr>
        <w:pStyle w:val="KlUrbrDat"/>
        <w:rPr>
          <w:sz w:val="22"/>
          <w:szCs w:val="22"/>
        </w:rPr>
      </w:pPr>
    </w:p>
    <w:p w14:paraId="146C73D8" w14:textId="77777777" w:rsidR="00862524" w:rsidRPr="00F476A0" w:rsidRDefault="00862524" w:rsidP="008133D0">
      <w:pPr>
        <w:pStyle w:val="KlUrbrDat"/>
        <w:rPr>
          <w:sz w:val="22"/>
          <w:szCs w:val="22"/>
        </w:rPr>
      </w:pPr>
    </w:p>
    <w:p w14:paraId="5A6F8E94" w14:textId="2431D378" w:rsidR="008133D0" w:rsidRDefault="008133D0" w:rsidP="008133D0">
      <w:pPr>
        <w:pStyle w:val="KlUrbrDat"/>
        <w:rPr>
          <w:sz w:val="22"/>
          <w:szCs w:val="22"/>
        </w:rPr>
      </w:pPr>
    </w:p>
    <w:p w14:paraId="268A782A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4BDB61C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OBVEZE</w:t>
      </w:r>
    </w:p>
    <w:p w14:paraId="7D000AB0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5A6FCD3" w14:textId="2E6947B4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nepodmirenih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obračunskog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r w:rsidR="000B011D">
        <w:rPr>
          <w:sz w:val="22"/>
          <w:szCs w:val="22"/>
        </w:rPr>
        <w:t>895.018</w:t>
      </w:r>
      <w:r w:rsidRPr="00F476A0">
        <w:rPr>
          <w:sz w:val="22"/>
          <w:szCs w:val="22"/>
        </w:rPr>
        <w:t xml:space="preserve"> k</w:t>
      </w:r>
      <w:proofErr w:type="spellStart"/>
      <w:r w:rsidRPr="00F476A0">
        <w:rPr>
          <w:sz w:val="22"/>
          <w:szCs w:val="22"/>
        </w:rPr>
        <w:t>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prema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zaposlenima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</w:t>
      </w:r>
      <w:r w:rsidR="000B011D">
        <w:rPr>
          <w:sz w:val="22"/>
          <w:szCs w:val="22"/>
        </w:rPr>
        <w:t>768.081</w:t>
      </w:r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materijalni</w:t>
      </w:r>
      <w:proofErr w:type="spellEnd"/>
      <w:r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i </w:t>
      </w:r>
      <w:proofErr w:type="spellStart"/>
      <w:r w:rsidR="00093920">
        <w:rPr>
          <w:sz w:val="22"/>
          <w:szCs w:val="22"/>
        </w:rPr>
        <w:t>financijski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B011D">
        <w:rPr>
          <w:sz w:val="22"/>
          <w:szCs w:val="22"/>
        </w:rPr>
        <w:t xml:space="preserve">80.459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>,</w:t>
      </w:r>
      <w:r w:rsidR="0009392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ostale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tekuće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B011D">
        <w:rPr>
          <w:sz w:val="22"/>
          <w:szCs w:val="22"/>
        </w:rPr>
        <w:t>1.014</w:t>
      </w:r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="00093920">
        <w:rPr>
          <w:sz w:val="22"/>
          <w:szCs w:val="22"/>
        </w:rPr>
        <w:t xml:space="preserve"> i </w:t>
      </w:r>
      <w:proofErr w:type="spellStart"/>
      <w:r w:rsidR="00093920">
        <w:rPr>
          <w:sz w:val="22"/>
          <w:szCs w:val="22"/>
        </w:rPr>
        <w:t>nabava</w:t>
      </w:r>
      <w:proofErr w:type="spellEnd"/>
      <w:r w:rsidR="00093920">
        <w:rPr>
          <w:sz w:val="22"/>
          <w:szCs w:val="22"/>
        </w:rPr>
        <w:t xml:space="preserve">  </w:t>
      </w:r>
      <w:proofErr w:type="spellStart"/>
      <w:r w:rsidR="00093920">
        <w:rPr>
          <w:sz w:val="22"/>
          <w:szCs w:val="22"/>
        </w:rPr>
        <w:t>nefinancijske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imovine</w:t>
      </w:r>
      <w:proofErr w:type="spellEnd"/>
      <w:r w:rsidR="00093920">
        <w:rPr>
          <w:sz w:val="22"/>
          <w:szCs w:val="22"/>
        </w:rPr>
        <w:t xml:space="preserve"> u </w:t>
      </w:r>
      <w:proofErr w:type="spellStart"/>
      <w:r w:rsidR="00093920">
        <w:rPr>
          <w:sz w:val="22"/>
          <w:szCs w:val="22"/>
        </w:rPr>
        <w:t>iznosu</w:t>
      </w:r>
      <w:proofErr w:type="spellEnd"/>
      <w:r w:rsidR="00093920">
        <w:rPr>
          <w:sz w:val="22"/>
          <w:szCs w:val="22"/>
        </w:rPr>
        <w:t xml:space="preserve"> od </w:t>
      </w:r>
      <w:r w:rsidR="000B011D">
        <w:rPr>
          <w:sz w:val="22"/>
          <w:szCs w:val="22"/>
        </w:rPr>
        <w:t xml:space="preserve">33.578 </w:t>
      </w:r>
      <w:bookmarkStart w:id="0" w:name="_GoBack"/>
      <w:bookmarkEnd w:id="0"/>
      <w:r w:rsidR="00093920">
        <w:rPr>
          <w:sz w:val="22"/>
          <w:szCs w:val="22"/>
        </w:rPr>
        <w:t xml:space="preserve"> kn.</w:t>
      </w:r>
    </w:p>
    <w:p w14:paraId="723DD9E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9DE70E7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59E280E" w14:textId="2930A75F" w:rsidR="008133D0" w:rsidRDefault="008133D0" w:rsidP="008133D0">
      <w:pPr>
        <w:pStyle w:val="KlUrbrDat"/>
        <w:rPr>
          <w:sz w:val="22"/>
          <w:szCs w:val="22"/>
        </w:rPr>
      </w:pPr>
    </w:p>
    <w:p w14:paraId="4A919F42" w14:textId="4F978636" w:rsidR="00093920" w:rsidRDefault="00093920" w:rsidP="008133D0">
      <w:pPr>
        <w:pStyle w:val="KlUrbrDat"/>
        <w:rPr>
          <w:sz w:val="22"/>
          <w:szCs w:val="22"/>
        </w:rPr>
      </w:pPr>
    </w:p>
    <w:p w14:paraId="03049A4A" w14:textId="629FC619" w:rsidR="00093920" w:rsidRDefault="00093920" w:rsidP="008133D0">
      <w:pPr>
        <w:pStyle w:val="KlUrbrDat"/>
        <w:rPr>
          <w:sz w:val="22"/>
          <w:szCs w:val="22"/>
        </w:rPr>
      </w:pPr>
    </w:p>
    <w:p w14:paraId="267F9649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4F738EA1" w14:textId="1FA4E3E3" w:rsidR="008133D0" w:rsidRDefault="008133D0" w:rsidP="00862524">
      <w:pPr>
        <w:pStyle w:val="KlUrbrDat"/>
        <w:jc w:val="right"/>
        <w:rPr>
          <w:sz w:val="22"/>
          <w:szCs w:val="22"/>
        </w:rPr>
      </w:pPr>
    </w:p>
    <w:p w14:paraId="13C73AB5" w14:textId="5D23F0EB" w:rsidR="00862524" w:rsidRDefault="00862524" w:rsidP="00862524">
      <w:pPr>
        <w:pStyle w:val="KlUrbrDat"/>
        <w:jc w:val="right"/>
        <w:rPr>
          <w:sz w:val="22"/>
          <w:szCs w:val="22"/>
        </w:rPr>
      </w:pPr>
    </w:p>
    <w:p w14:paraId="46DE45EE" w14:textId="77777777" w:rsidR="00862524" w:rsidRPr="00F476A0" w:rsidRDefault="00862524" w:rsidP="00862524">
      <w:pPr>
        <w:pStyle w:val="KlUrbrDat"/>
        <w:jc w:val="right"/>
        <w:rPr>
          <w:sz w:val="22"/>
          <w:szCs w:val="22"/>
        </w:rPr>
      </w:pPr>
    </w:p>
    <w:p w14:paraId="1F33A5E9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Ravnatelj</w:t>
      </w:r>
      <w:proofErr w:type="spellEnd"/>
      <w:r w:rsidRPr="00F476A0">
        <w:rPr>
          <w:sz w:val="22"/>
          <w:szCs w:val="22"/>
        </w:rPr>
        <w:t>:</w:t>
      </w:r>
    </w:p>
    <w:p w14:paraId="1B7092F2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</w:p>
    <w:p w14:paraId="2E1A45B9" w14:textId="62577A39" w:rsidR="00BA385C" w:rsidRPr="00F476A0" w:rsidRDefault="008133D0" w:rsidP="00862524">
      <w:pPr>
        <w:pStyle w:val="KlUrbrDat"/>
        <w:jc w:val="righ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Borut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Vidošević</w:t>
      </w:r>
      <w:proofErr w:type="spellEnd"/>
      <w:r w:rsidRPr="00F476A0">
        <w:rPr>
          <w:sz w:val="22"/>
          <w:szCs w:val="22"/>
        </w:rPr>
        <w:t>, prof.</w:t>
      </w:r>
    </w:p>
    <w:p w14:paraId="40F1A193" w14:textId="77777777" w:rsidR="00BA385C" w:rsidRPr="00F476A0" w:rsidRDefault="00BA385C" w:rsidP="00862524">
      <w:pPr>
        <w:pStyle w:val="KlUrbrDat"/>
        <w:jc w:val="right"/>
        <w:rPr>
          <w:sz w:val="22"/>
          <w:szCs w:val="22"/>
        </w:rPr>
      </w:pPr>
    </w:p>
    <w:p w14:paraId="394DA776" w14:textId="77777777" w:rsidR="00A55440" w:rsidRPr="00F476A0" w:rsidRDefault="00A55440" w:rsidP="008133D0">
      <w:pPr>
        <w:pStyle w:val="KlUrbrDat"/>
        <w:rPr>
          <w:sz w:val="22"/>
          <w:szCs w:val="22"/>
        </w:rPr>
      </w:pPr>
    </w:p>
    <w:sectPr w:rsidR="00A55440" w:rsidRPr="00F476A0" w:rsidSect="00C3042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37A2" w14:textId="77777777" w:rsidR="00354ECE" w:rsidRDefault="00354ECE">
      <w:pPr>
        <w:spacing w:after="0"/>
      </w:pPr>
      <w:r>
        <w:separator/>
      </w:r>
    </w:p>
  </w:endnote>
  <w:endnote w:type="continuationSeparator" w:id="0">
    <w:p w14:paraId="09944815" w14:textId="77777777" w:rsidR="00354ECE" w:rsidRDefault="00354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C097" w14:textId="77777777" w:rsidR="00354ECE" w:rsidRDefault="00354ECE">
      <w:pPr>
        <w:spacing w:after="0"/>
      </w:pPr>
      <w:r>
        <w:separator/>
      </w:r>
    </w:p>
  </w:footnote>
  <w:footnote w:type="continuationSeparator" w:id="0">
    <w:p w14:paraId="0EA5BE0D" w14:textId="77777777" w:rsidR="00354ECE" w:rsidRDefault="00354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354ECE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354ECE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354ECE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93920"/>
    <w:rsid w:val="000B011D"/>
    <w:rsid w:val="000C3814"/>
    <w:rsid w:val="00101CF4"/>
    <w:rsid w:val="00115DCF"/>
    <w:rsid w:val="00252DE5"/>
    <w:rsid w:val="00276CD7"/>
    <w:rsid w:val="002B12BB"/>
    <w:rsid w:val="002C1F1A"/>
    <w:rsid w:val="002C5FDB"/>
    <w:rsid w:val="0030768E"/>
    <w:rsid w:val="00354ECE"/>
    <w:rsid w:val="00391B08"/>
    <w:rsid w:val="003A03DC"/>
    <w:rsid w:val="003F0E24"/>
    <w:rsid w:val="004003A7"/>
    <w:rsid w:val="00424F18"/>
    <w:rsid w:val="00584A1C"/>
    <w:rsid w:val="00602241"/>
    <w:rsid w:val="0065438F"/>
    <w:rsid w:val="006779C2"/>
    <w:rsid w:val="006848FC"/>
    <w:rsid w:val="0071617C"/>
    <w:rsid w:val="00777607"/>
    <w:rsid w:val="00787A7F"/>
    <w:rsid w:val="007A22E4"/>
    <w:rsid w:val="007C1E66"/>
    <w:rsid w:val="008133D0"/>
    <w:rsid w:val="00823D34"/>
    <w:rsid w:val="00862524"/>
    <w:rsid w:val="00867A5D"/>
    <w:rsid w:val="00897256"/>
    <w:rsid w:val="008A345F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72E0D"/>
    <w:rsid w:val="00BA385C"/>
    <w:rsid w:val="00BB3DE2"/>
    <w:rsid w:val="00BB7F3E"/>
    <w:rsid w:val="00C30421"/>
    <w:rsid w:val="00C657D7"/>
    <w:rsid w:val="00C926B0"/>
    <w:rsid w:val="00CA44B4"/>
    <w:rsid w:val="00DB7178"/>
    <w:rsid w:val="00DC067E"/>
    <w:rsid w:val="00E0694D"/>
    <w:rsid w:val="00E23927"/>
    <w:rsid w:val="00E77061"/>
    <w:rsid w:val="00ED60F2"/>
    <w:rsid w:val="00F14B1F"/>
    <w:rsid w:val="00F26010"/>
    <w:rsid w:val="00F476A0"/>
    <w:rsid w:val="00F77AA8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0A9-02E8-4862-A065-B11FD7F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2019-01-31T08:40:00Z</cp:lastPrinted>
  <dcterms:created xsi:type="dcterms:W3CDTF">2020-01-30T08:19:00Z</dcterms:created>
  <dcterms:modified xsi:type="dcterms:W3CDTF">2020-01-30T08:24:00Z</dcterms:modified>
</cp:coreProperties>
</file>